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7E" w:rsidRDefault="0047217E" w:rsidP="0047217E">
      <w:pPr>
        <w:jc w:val="center"/>
      </w:pPr>
      <w:r>
        <w:rPr>
          <w:noProof/>
        </w:rPr>
        <w:drawing>
          <wp:inline distT="0" distB="0" distL="0" distR="0" wp14:anchorId="3103B3FC" wp14:editId="761CA80E">
            <wp:extent cx="4064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_Harris_Early_College-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E" w:rsidRDefault="0047217E" w:rsidP="0047217E">
      <w:r>
        <w:t>Welcome to Young Harris Early College!  We are glad you have chosen to jumpstart your college education through Young Harris.</w:t>
      </w:r>
    </w:p>
    <w:p w:rsidR="0047217E" w:rsidRDefault="0047217E" w:rsidP="0047217E"/>
    <w:p w:rsidR="0047217E" w:rsidRDefault="0047217E" w:rsidP="0047217E">
      <w:r>
        <w:t xml:space="preserve">Course Options: </w:t>
      </w:r>
    </w:p>
    <w:p w:rsidR="0047217E" w:rsidRDefault="0047217E" w:rsidP="0047217E">
      <w:pPr>
        <w:pStyle w:val="ListParagraph"/>
        <w:numPr>
          <w:ilvl w:val="0"/>
          <w:numId w:val="1"/>
        </w:numPr>
      </w:pPr>
      <w:r>
        <w:t>Online classes – we offer 8-week online classes in most of the CORE subjects throughout the year.  Online students must have a computer with webcam and mic and reliable access to the internet.</w:t>
      </w:r>
    </w:p>
    <w:p w:rsidR="0047217E" w:rsidRDefault="0047217E" w:rsidP="0047217E">
      <w:pPr>
        <w:pStyle w:val="ListParagraph"/>
        <w:numPr>
          <w:ilvl w:val="0"/>
          <w:numId w:val="1"/>
        </w:numPr>
      </w:pPr>
      <w:r>
        <w:t xml:space="preserve">Face-to-face classes at Habersham High School – we offer 4 courses in the Fall and 4 in the Spring right at the high school.  Some of these will have the teacher in the room and some will be broadcast from our campus.  </w:t>
      </w:r>
    </w:p>
    <w:p w:rsidR="0047217E" w:rsidRDefault="0047217E" w:rsidP="0047217E"/>
    <w:p w:rsidR="0047217E" w:rsidRDefault="0047217E" w:rsidP="0047217E">
      <w:r>
        <w:t xml:space="preserve">Proposed schedule </w:t>
      </w:r>
      <w:r w:rsidR="00E52A47">
        <w:t xml:space="preserve">of YHC classes at Habersham Central </w:t>
      </w:r>
      <w:r>
        <w:t>for 2018-19 school year:</w:t>
      </w:r>
    </w:p>
    <w:p w:rsidR="0047217E" w:rsidRDefault="0047217E" w:rsidP="0047217E"/>
    <w:p w:rsidR="0047217E" w:rsidRPr="00E52A47" w:rsidRDefault="0047217E" w:rsidP="0047217E">
      <w:pPr>
        <w:rPr>
          <w:sz w:val="32"/>
        </w:rPr>
      </w:pPr>
      <w:r w:rsidRPr="00E52A47">
        <w:rPr>
          <w:sz w:val="32"/>
        </w:rPr>
        <w:t>Fall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615"/>
        <w:gridCol w:w="1571"/>
        <w:gridCol w:w="2572"/>
        <w:gridCol w:w="1437"/>
        <w:gridCol w:w="2790"/>
      </w:tblGrid>
      <w:tr w:rsidR="0047217E" w:rsidTr="001D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Default="0047217E" w:rsidP="001D52EC">
            <w:r>
              <w:t>Time</w:t>
            </w:r>
          </w:p>
        </w:tc>
        <w:tc>
          <w:tcPr>
            <w:tcW w:w="1571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2572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437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Instructor</w:t>
            </w:r>
          </w:p>
        </w:tc>
        <w:tc>
          <w:tcPr>
            <w:tcW w:w="2790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Book type</w:t>
            </w:r>
          </w:p>
        </w:tc>
      </w:tr>
      <w:tr w:rsidR="0047217E" w:rsidTr="001D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1</w:t>
            </w:r>
            <w:r w:rsidRPr="00BD2794">
              <w:rPr>
                <w:b w:val="0"/>
                <w:vertAlign w:val="superscript"/>
              </w:rPr>
              <w:t>st</w:t>
            </w:r>
            <w:r w:rsidRPr="00BD2794">
              <w:rPr>
                <w:b w:val="0"/>
              </w:rPr>
              <w:t xml:space="preserve"> block MW</w:t>
            </w:r>
          </w:p>
        </w:tc>
        <w:tc>
          <w:tcPr>
            <w:tcW w:w="1571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 1100</w:t>
            </w:r>
          </w:p>
        </w:tc>
        <w:tc>
          <w:tcPr>
            <w:tcW w:w="2572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Speaking</w:t>
            </w:r>
          </w:p>
        </w:tc>
        <w:tc>
          <w:tcPr>
            <w:tcW w:w="1437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Dick Stafford</w:t>
            </w:r>
          </w:p>
        </w:tc>
        <w:tc>
          <w:tcPr>
            <w:tcW w:w="279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Brytewave</w:t>
            </w:r>
            <w:proofErr w:type="spellEnd"/>
            <w:r>
              <w:t xml:space="preserve"> book – ‘Introduction to the Speechmaking Process’</w:t>
            </w:r>
          </w:p>
        </w:tc>
      </w:tr>
      <w:tr w:rsidR="0047217E" w:rsidTr="001D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3</w:t>
            </w:r>
            <w:proofErr w:type="gramStart"/>
            <w:r w:rsidRPr="00BD2794">
              <w:rPr>
                <w:b w:val="0"/>
                <w:vertAlign w:val="superscript"/>
              </w:rPr>
              <w:t>rd</w:t>
            </w:r>
            <w:r w:rsidRPr="00BD2794">
              <w:rPr>
                <w:b w:val="0"/>
              </w:rPr>
              <w:t xml:space="preserve">  block</w:t>
            </w:r>
            <w:proofErr w:type="gramEnd"/>
            <w:r w:rsidRPr="00BD2794">
              <w:rPr>
                <w:b w:val="0"/>
              </w:rPr>
              <w:t xml:space="preserve"> MW</w:t>
            </w:r>
          </w:p>
        </w:tc>
        <w:tc>
          <w:tcPr>
            <w:tcW w:w="1571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</w:tc>
        <w:tc>
          <w:tcPr>
            <w:tcW w:w="2572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Composition I</w:t>
            </w:r>
          </w:p>
        </w:tc>
        <w:tc>
          <w:tcPr>
            <w:tcW w:w="1437" w:type="dxa"/>
          </w:tcPr>
          <w:p w:rsidR="0047217E" w:rsidRDefault="000E7806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Holly </w:t>
            </w:r>
            <w:proofErr w:type="spellStart"/>
            <w:r>
              <w:t>Burcham</w:t>
            </w:r>
            <w:proofErr w:type="spellEnd"/>
          </w:p>
        </w:tc>
        <w:tc>
          <w:tcPr>
            <w:tcW w:w="279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17E" w:rsidTr="001D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4</w:t>
            </w:r>
            <w:r w:rsidRPr="00BD2794">
              <w:rPr>
                <w:b w:val="0"/>
                <w:vertAlign w:val="superscript"/>
              </w:rPr>
              <w:t>th</w:t>
            </w:r>
            <w:r w:rsidRPr="00BD2794">
              <w:rPr>
                <w:b w:val="0"/>
              </w:rPr>
              <w:t xml:space="preserve"> </w:t>
            </w:r>
            <w:proofErr w:type="gramStart"/>
            <w:r w:rsidRPr="00BD2794">
              <w:rPr>
                <w:b w:val="0"/>
              </w:rPr>
              <w:t>block  MW</w:t>
            </w:r>
            <w:proofErr w:type="gramEnd"/>
          </w:p>
        </w:tc>
        <w:tc>
          <w:tcPr>
            <w:tcW w:w="1571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 1000</w:t>
            </w:r>
          </w:p>
        </w:tc>
        <w:tc>
          <w:tcPr>
            <w:tcW w:w="2572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Fundamentals of Economics</w:t>
            </w:r>
          </w:p>
        </w:tc>
        <w:tc>
          <w:tcPr>
            <w:tcW w:w="1437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Mishal</w:t>
            </w:r>
            <w:proofErr w:type="spellEnd"/>
            <w:r>
              <w:t xml:space="preserve"> Ahmed</w:t>
            </w:r>
          </w:p>
        </w:tc>
        <w:tc>
          <w:tcPr>
            <w:tcW w:w="279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book-</w:t>
            </w:r>
          </w:p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‘Common Sense Economics’</w:t>
            </w:r>
          </w:p>
        </w:tc>
      </w:tr>
      <w:tr w:rsidR="0047217E" w:rsidTr="001D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4</w:t>
            </w:r>
            <w:r w:rsidRPr="00BD2794">
              <w:rPr>
                <w:b w:val="0"/>
                <w:vertAlign w:val="superscript"/>
              </w:rPr>
              <w:t>th</w:t>
            </w:r>
            <w:r w:rsidRPr="00BD2794">
              <w:rPr>
                <w:b w:val="0"/>
              </w:rPr>
              <w:t xml:space="preserve"> block TR</w:t>
            </w:r>
          </w:p>
        </w:tc>
        <w:tc>
          <w:tcPr>
            <w:tcW w:w="1571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 1100</w:t>
            </w:r>
          </w:p>
        </w:tc>
        <w:tc>
          <w:tcPr>
            <w:tcW w:w="2572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American Government</w:t>
            </w:r>
          </w:p>
        </w:tc>
        <w:tc>
          <w:tcPr>
            <w:tcW w:w="1437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Arch </w:t>
            </w:r>
            <w:proofErr w:type="spellStart"/>
            <w:r>
              <w:t>Kielly</w:t>
            </w:r>
            <w:proofErr w:type="spellEnd"/>
          </w:p>
        </w:tc>
        <w:tc>
          <w:tcPr>
            <w:tcW w:w="279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book – ‘</w:t>
            </w:r>
            <w:r>
              <w:rPr>
                <w:rFonts w:ascii="Arial" w:hAnsi="Arial" w:cs="Arial"/>
              </w:rPr>
              <w:t>The Basics of American Government’</w:t>
            </w:r>
          </w:p>
        </w:tc>
      </w:tr>
    </w:tbl>
    <w:p w:rsidR="0047217E" w:rsidRDefault="0047217E" w:rsidP="0047217E"/>
    <w:p w:rsidR="0047217E" w:rsidRPr="00E52A47" w:rsidRDefault="0047217E" w:rsidP="0047217E">
      <w:pPr>
        <w:rPr>
          <w:sz w:val="32"/>
        </w:rPr>
      </w:pPr>
      <w:r w:rsidRPr="00E52A47">
        <w:rPr>
          <w:sz w:val="32"/>
        </w:rPr>
        <w:t>Spring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2520"/>
        <w:gridCol w:w="1620"/>
        <w:gridCol w:w="2700"/>
      </w:tblGrid>
      <w:tr w:rsidR="0047217E" w:rsidTr="001D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Default="0047217E" w:rsidP="001D52EC">
            <w:r>
              <w:t>Time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2520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Instructor</w:t>
            </w:r>
          </w:p>
        </w:tc>
        <w:tc>
          <w:tcPr>
            <w:tcW w:w="2700" w:type="dxa"/>
          </w:tcPr>
          <w:p w:rsidR="0047217E" w:rsidRDefault="0047217E" w:rsidP="001D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47217E" w:rsidTr="001D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1</w:t>
            </w:r>
            <w:r w:rsidRPr="00BD2794">
              <w:rPr>
                <w:b w:val="0"/>
                <w:vertAlign w:val="superscript"/>
              </w:rPr>
              <w:t>st</w:t>
            </w:r>
            <w:r w:rsidRPr="00BD2794">
              <w:rPr>
                <w:b w:val="0"/>
              </w:rPr>
              <w:t xml:space="preserve"> block MW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 1102</w:t>
            </w:r>
          </w:p>
        </w:tc>
        <w:tc>
          <w:tcPr>
            <w:tcW w:w="25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 to Psychology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Hummel</w:t>
            </w:r>
          </w:p>
        </w:tc>
        <w:tc>
          <w:tcPr>
            <w:tcW w:w="270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Brytewave</w:t>
            </w:r>
            <w:proofErr w:type="spellEnd"/>
            <w:r>
              <w:t xml:space="preserve"> book – ‘Psychology: Themes and Variations’</w:t>
            </w:r>
          </w:p>
        </w:tc>
      </w:tr>
      <w:tr w:rsidR="0047217E" w:rsidTr="001D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3</w:t>
            </w:r>
            <w:proofErr w:type="gramStart"/>
            <w:r w:rsidRPr="00BD2794">
              <w:rPr>
                <w:b w:val="0"/>
                <w:vertAlign w:val="superscript"/>
              </w:rPr>
              <w:t>rd</w:t>
            </w:r>
            <w:r w:rsidRPr="00BD2794">
              <w:rPr>
                <w:b w:val="0"/>
              </w:rPr>
              <w:t xml:space="preserve">  block</w:t>
            </w:r>
            <w:proofErr w:type="gramEnd"/>
            <w:r w:rsidRPr="00BD2794">
              <w:rPr>
                <w:b w:val="0"/>
              </w:rPr>
              <w:t xml:space="preserve"> MW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1102</w:t>
            </w:r>
          </w:p>
        </w:tc>
        <w:tc>
          <w:tcPr>
            <w:tcW w:w="252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Composition and Literature</w:t>
            </w:r>
          </w:p>
        </w:tc>
        <w:tc>
          <w:tcPr>
            <w:tcW w:w="1620" w:type="dxa"/>
          </w:tcPr>
          <w:p w:rsidR="0047217E" w:rsidRDefault="000E7806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Holly </w:t>
            </w:r>
            <w:proofErr w:type="spellStart"/>
            <w:r>
              <w:t>Burcham</w:t>
            </w:r>
            <w:proofErr w:type="spellEnd"/>
          </w:p>
        </w:tc>
        <w:tc>
          <w:tcPr>
            <w:tcW w:w="270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17E" w:rsidTr="001D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 w:rsidRPr="00BD2794">
              <w:rPr>
                <w:b w:val="0"/>
              </w:rPr>
              <w:t>4</w:t>
            </w:r>
            <w:r w:rsidRPr="00BD2794">
              <w:rPr>
                <w:b w:val="0"/>
                <w:vertAlign w:val="superscript"/>
              </w:rPr>
              <w:t>th</w:t>
            </w:r>
            <w:r w:rsidRPr="00BD2794">
              <w:rPr>
                <w:b w:val="0"/>
              </w:rPr>
              <w:t xml:space="preserve"> </w:t>
            </w:r>
            <w:proofErr w:type="gramStart"/>
            <w:r w:rsidRPr="00BD2794">
              <w:rPr>
                <w:b w:val="0"/>
              </w:rPr>
              <w:t>block  MW</w:t>
            </w:r>
            <w:proofErr w:type="gramEnd"/>
          </w:p>
        </w:tc>
        <w:tc>
          <w:tcPr>
            <w:tcW w:w="16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 2111</w:t>
            </w:r>
          </w:p>
        </w:tc>
        <w:tc>
          <w:tcPr>
            <w:tcW w:w="25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History to 1865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process</w:t>
            </w:r>
          </w:p>
        </w:tc>
        <w:tc>
          <w:tcPr>
            <w:tcW w:w="2700" w:type="dxa"/>
          </w:tcPr>
          <w:p w:rsidR="0047217E" w:rsidRDefault="0047217E" w:rsidP="001D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17E" w:rsidTr="001D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47217E" w:rsidRPr="00BD2794" w:rsidRDefault="0047217E" w:rsidP="001D52EC">
            <w:pPr>
              <w:rPr>
                <w:b w:val="0"/>
              </w:rPr>
            </w:pPr>
            <w:r>
              <w:rPr>
                <w:b w:val="0"/>
              </w:rPr>
              <w:t>?? (depends on interest)</w:t>
            </w:r>
          </w:p>
        </w:tc>
        <w:tc>
          <w:tcPr>
            <w:tcW w:w="162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</w:tc>
        <w:tc>
          <w:tcPr>
            <w:tcW w:w="252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Composition I</w:t>
            </w:r>
          </w:p>
        </w:tc>
        <w:tc>
          <w:tcPr>
            <w:tcW w:w="1620" w:type="dxa"/>
          </w:tcPr>
          <w:p w:rsidR="0047217E" w:rsidRDefault="000E7806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Holly </w:t>
            </w:r>
            <w:proofErr w:type="spellStart"/>
            <w:r>
              <w:t>Burcham</w:t>
            </w:r>
            <w:proofErr w:type="spellEnd"/>
          </w:p>
        </w:tc>
        <w:tc>
          <w:tcPr>
            <w:tcW w:w="2700" w:type="dxa"/>
          </w:tcPr>
          <w:p w:rsidR="0047217E" w:rsidRDefault="0047217E" w:rsidP="001D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217E" w:rsidRDefault="0047217E" w:rsidP="0047217E"/>
    <w:p w:rsidR="0047217E" w:rsidRDefault="0047217E" w:rsidP="0047217E"/>
    <w:p w:rsidR="0047217E" w:rsidRDefault="0047217E" w:rsidP="0047217E">
      <w:r>
        <w:t>Steps to enroll: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>Talk to your counselor about your interest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 xml:space="preserve">Submit your application at </w:t>
      </w:r>
      <w:hyperlink r:id="rId6" w:history="1">
        <w:r w:rsidRPr="00D35E02">
          <w:rPr>
            <w:rStyle w:val="Hyperlink"/>
          </w:rPr>
          <w:t>http://discover.yhc.edu/applynow/inquiryform</w:t>
        </w:r>
      </w:hyperlink>
      <w:r>
        <w:t xml:space="preserve"> and choose ‘move on when ready’ as your student type.  If you have questions, call Zach Chamberlin at (706) 379-5234.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 xml:space="preserve">Submit an official copy of your high school transcript with your most recent grades.  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>Submit your official SAT or ACT scores.  If you have not yet taken these, you may be eligible if you have a 3.2 GPA as calculated by YHC.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 xml:space="preserve">You will be contacted about your acceptance.  Your acceptance letter will contain your login information and new YHC email address. 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>Submit a Student Participation Agreement (SPA) available from your counselor.  This will list the courses you want to take and will require a signature from the counselor, the student, and the parent.</w:t>
      </w:r>
    </w:p>
    <w:p w:rsidR="0047217E" w:rsidRDefault="0047217E" w:rsidP="0047217E">
      <w:pPr>
        <w:ind w:left="360"/>
      </w:pPr>
      <w:r>
        <w:t>*Steps 5 and 6 might be reversed, depending on timing.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 xml:space="preserve">Complete your Dual Enrollment funding application at </w:t>
      </w:r>
      <w:proofErr w:type="spellStart"/>
      <w:r>
        <w:t>GAfutures</w:t>
      </w:r>
      <w:proofErr w:type="spellEnd"/>
      <w:r>
        <w:t>.  You must do this every semester for every college that you take dual enrollment classes with.</w:t>
      </w:r>
      <w:r w:rsidRPr="00DC6090">
        <w:t xml:space="preserve"> http://discover.yhc.edu/applynow/inquiryform </w:t>
      </w:r>
    </w:p>
    <w:p w:rsidR="0047217E" w:rsidRDefault="0047217E" w:rsidP="0047217E">
      <w:pPr>
        <w:pStyle w:val="ListParagraph"/>
        <w:numPr>
          <w:ilvl w:val="0"/>
          <w:numId w:val="3"/>
        </w:numPr>
      </w:pPr>
      <w:r>
        <w:t>Complete the 2018-19 Moodl</w:t>
      </w:r>
      <w:bookmarkStart w:id="0" w:name="_GoBack"/>
      <w:bookmarkEnd w:id="0"/>
      <w:r>
        <w:t>e Orientation for Young Harris Distance Learning at http://moodle.yhc.edu.</w:t>
      </w:r>
    </w:p>
    <w:p w:rsidR="0047217E" w:rsidRDefault="0047217E" w:rsidP="0047217E"/>
    <w:p w:rsidR="0047217E" w:rsidRDefault="0047217E" w:rsidP="00EE6703">
      <w:pPr>
        <w:jc w:val="right"/>
      </w:pPr>
    </w:p>
    <w:p w:rsidR="0047217E" w:rsidRDefault="0047217E" w:rsidP="0047217E"/>
    <w:p w:rsidR="0047217E" w:rsidRDefault="0047217E" w:rsidP="0047217E"/>
    <w:p w:rsidR="0047217E" w:rsidRDefault="0047217E" w:rsidP="0047217E">
      <w:r>
        <w:t>Important Links:</w:t>
      </w:r>
    </w:p>
    <w:p w:rsidR="0047217E" w:rsidRPr="002E7477" w:rsidRDefault="000E7806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4522609</wp:posOffset>
            </wp:positionH>
            <wp:positionV relativeFrom="paragraph">
              <wp:posOffset>78137</wp:posOffset>
            </wp:positionV>
            <wp:extent cx="2335947" cy="2335947"/>
            <wp:effectExtent l="0" t="0" r="1270" b="1270"/>
            <wp:wrapTight wrapText="bothSides">
              <wp:wrapPolygon edited="0">
                <wp:start x="9631" y="0"/>
                <wp:lineTo x="8339" y="352"/>
                <wp:lineTo x="4581" y="1762"/>
                <wp:lineTo x="3993" y="2584"/>
                <wp:lineTo x="2584" y="3993"/>
                <wp:lineTo x="1292" y="5873"/>
                <wp:lineTo x="470" y="7752"/>
                <wp:lineTo x="117" y="9631"/>
                <wp:lineTo x="352" y="13390"/>
                <wp:lineTo x="1057" y="15269"/>
                <wp:lineTo x="2114" y="17148"/>
                <wp:lineTo x="3993" y="19028"/>
                <wp:lineTo x="4111" y="19263"/>
                <wp:lineTo x="7282" y="20907"/>
                <wp:lineTo x="9279" y="21494"/>
                <wp:lineTo x="12333" y="21494"/>
                <wp:lineTo x="14447" y="20907"/>
                <wp:lineTo x="17618" y="19263"/>
                <wp:lineTo x="17736" y="19028"/>
                <wp:lineTo x="19615" y="17148"/>
                <wp:lineTo x="20555" y="15269"/>
                <wp:lineTo x="21259" y="13390"/>
                <wp:lineTo x="21494" y="11511"/>
                <wp:lineTo x="21494" y="9631"/>
                <wp:lineTo x="21142" y="7752"/>
                <wp:lineTo x="20437" y="5873"/>
                <wp:lineTo x="19145" y="3993"/>
                <wp:lineTo x="17383" y="2349"/>
                <wp:lineTo x="17031" y="1762"/>
                <wp:lineTo x="13272" y="352"/>
                <wp:lineTo x="11980" y="0"/>
                <wp:lineTo x="96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 moving mountai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47" cy="233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7E" w:rsidRPr="002E7477">
        <w:rPr>
          <w:b/>
          <w:sz w:val="21"/>
          <w:szCs w:val="22"/>
        </w:rPr>
        <w:t>Email:</w:t>
      </w:r>
      <w:r w:rsidR="0047217E" w:rsidRPr="002E7477">
        <w:rPr>
          <w:sz w:val="21"/>
          <w:szCs w:val="22"/>
        </w:rPr>
        <w:t xml:space="preserve">  </w:t>
      </w:r>
      <w:hyperlink r:id="rId8" w:history="1">
        <w:r w:rsidR="0047217E" w:rsidRPr="002E7477">
          <w:rPr>
            <w:rStyle w:val="Hyperlink"/>
            <w:sz w:val="21"/>
            <w:szCs w:val="22"/>
          </w:rPr>
          <w:t>http://email.yhc.edu/</w:t>
        </w:r>
      </w:hyperlink>
    </w:p>
    <w:p w:rsidR="0047217E" w:rsidRPr="002E7477" w:rsidRDefault="0047217E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r w:rsidRPr="002E7477">
        <w:rPr>
          <w:b/>
          <w:sz w:val="21"/>
          <w:szCs w:val="22"/>
        </w:rPr>
        <w:t xml:space="preserve">Moodle: </w:t>
      </w:r>
      <w:hyperlink r:id="rId9" w:history="1">
        <w:r w:rsidRPr="002E7477">
          <w:rPr>
            <w:rStyle w:val="Hyperlink"/>
            <w:sz w:val="21"/>
            <w:szCs w:val="22"/>
          </w:rPr>
          <w:t>https://moodle.yhc.edu/</w:t>
        </w:r>
      </w:hyperlink>
      <w:r w:rsidRPr="002E7477">
        <w:rPr>
          <w:sz w:val="21"/>
          <w:szCs w:val="22"/>
        </w:rPr>
        <w:t xml:space="preserve"> (Contains unofficial gradebook.  You should be able to check your grades 24/7.)</w:t>
      </w:r>
    </w:p>
    <w:p w:rsidR="0047217E" w:rsidRPr="002E7477" w:rsidRDefault="0047217E" w:rsidP="0047217E">
      <w:pPr>
        <w:pStyle w:val="ListParagraph"/>
        <w:numPr>
          <w:ilvl w:val="0"/>
          <w:numId w:val="2"/>
        </w:numPr>
        <w:rPr>
          <w:sz w:val="21"/>
          <w:szCs w:val="22"/>
        </w:rPr>
      </w:pPr>
      <w:r w:rsidRPr="002E7477">
        <w:rPr>
          <w:b/>
          <w:sz w:val="21"/>
          <w:szCs w:val="22"/>
        </w:rPr>
        <w:t>Self-Service:</w:t>
      </w:r>
      <w:r w:rsidRPr="002E7477">
        <w:rPr>
          <w:sz w:val="21"/>
          <w:szCs w:val="22"/>
        </w:rPr>
        <w:t xml:space="preserve"> </w:t>
      </w:r>
      <w:hyperlink r:id="rId10" w:history="1">
        <w:r w:rsidRPr="002E7477">
          <w:rPr>
            <w:rStyle w:val="Hyperlink"/>
            <w:sz w:val="21"/>
            <w:szCs w:val="22"/>
          </w:rPr>
          <w:t>https://selfservice.yhc.edu/selfservice/Home.aspx</w:t>
        </w:r>
      </w:hyperlink>
      <w:r w:rsidRPr="002E7477">
        <w:rPr>
          <w:sz w:val="21"/>
          <w:szCs w:val="22"/>
        </w:rPr>
        <w:t xml:space="preserve">  (You </w:t>
      </w:r>
      <w:r>
        <w:rPr>
          <w:sz w:val="21"/>
          <w:szCs w:val="22"/>
        </w:rPr>
        <w:t>can</w:t>
      </w:r>
      <w:r w:rsidRPr="002E7477">
        <w:rPr>
          <w:sz w:val="21"/>
          <w:szCs w:val="22"/>
        </w:rPr>
        <w:t xml:space="preserve"> check your schedule here. This is </w:t>
      </w:r>
      <w:r>
        <w:rPr>
          <w:sz w:val="21"/>
          <w:szCs w:val="22"/>
        </w:rPr>
        <w:t xml:space="preserve">also </w:t>
      </w:r>
      <w:r w:rsidRPr="002E7477">
        <w:rPr>
          <w:sz w:val="21"/>
          <w:szCs w:val="22"/>
        </w:rPr>
        <w:t xml:space="preserve">where the official </w:t>
      </w:r>
      <w:r>
        <w:rPr>
          <w:sz w:val="21"/>
          <w:szCs w:val="22"/>
        </w:rPr>
        <w:t xml:space="preserve">midterm and final course </w:t>
      </w:r>
      <w:r w:rsidRPr="002E7477">
        <w:rPr>
          <w:sz w:val="21"/>
          <w:szCs w:val="22"/>
        </w:rPr>
        <w:t xml:space="preserve">grades are </w:t>
      </w:r>
      <w:r>
        <w:rPr>
          <w:sz w:val="21"/>
          <w:szCs w:val="22"/>
        </w:rPr>
        <w:t>available</w:t>
      </w:r>
      <w:r w:rsidRPr="002E7477">
        <w:rPr>
          <w:sz w:val="21"/>
          <w:szCs w:val="22"/>
        </w:rPr>
        <w:t>.)</w:t>
      </w:r>
    </w:p>
    <w:p w:rsidR="0047217E" w:rsidRPr="002E7477" w:rsidRDefault="0047217E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r w:rsidRPr="002E7477">
        <w:rPr>
          <w:b/>
          <w:sz w:val="21"/>
          <w:szCs w:val="22"/>
        </w:rPr>
        <w:t>Textbooks:</w:t>
      </w:r>
      <w:r w:rsidRPr="002E7477">
        <w:rPr>
          <w:sz w:val="21"/>
          <w:szCs w:val="22"/>
        </w:rPr>
        <w:t xml:space="preserve">  online classes have digital textbooks.  Most are available through </w:t>
      </w:r>
      <w:proofErr w:type="spellStart"/>
      <w:r w:rsidRPr="002E7477">
        <w:rPr>
          <w:sz w:val="21"/>
          <w:szCs w:val="22"/>
        </w:rPr>
        <w:t>Brytewave</w:t>
      </w:r>
      <w:proofErr w:type="spellEnd"/>
      <w:r w:rsidRPr="002E7477">
        <w:rPr>
          <w:sz w:val="21"/>
          <w:szCs w:val="22"/>
        </w:rPr>
        <w:t xml:space="preserve"> and that link is on your Moodle home page.  Synchronous classes have physical textbooks that you will </w:t>
      </w:r>
      <w:r>
        <w:rPr>
          <w:sz w:val="21"/>
          <w:szCs w:val="22"/>
        </w:rPr>
        <w:t>receive</w:t>
      </w:r>
      <w:r w:rsidRPr="002E7477">
        <w:rPr>
          <w:sz w:val="21"/>
          <w:szCs w:val="22"/>
        </w:rPr>
        <w:t xml:space="preserve"> from your teacher. On-campus class books are available at the bookstore. </w:t>
      </w:r>
      <w:r w:rsidRPr="002E7477">
        <w:rPr>
          <w:b/>
          <w:sz w:val="21"/>
          <w:szCs w:val="22"/>
        </w:rPr>
        <w:t xml:space="preserve">YOU ARE RESPONSIBLE FOR MAINTAINING AND RETURNING ALL PHYSICAL BOOKS </w:t>
      </w:r>
    </w:p>
    <w:p w:rsidR="0047217E" w:rsidRPr="002E7477" w:rsidRDefault="0047217E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proofErr w:type="spellStart"/>
      <w:r w:rsidRPr="002E7477">
        <w:rPr>
          <w:b/>
          <w:sz w:val="21"/>
          <w:szCs w:val="22"/>
        </w:rPr>
        <w:t>GAfutures</w:t>
      </w:r>
      <w:proofErr w:type="spellEnd"/>
      <w:r w:rsidRPr="002E7477">
        <w:rPr>
          <w:b/>
          <w:sz w:val="21"/>
          <w:szCs w:val="22"/>
        </w:rPr>
        <w:t>:</w:t>
      </w:r>
      <w:r w:rsidRPr="002E7477">
        <w:rPr>
          <w:sz w:val="21"/>
          <w:szCs w:val="22"/>
        </w:rPr>
        <w:t xml:space="preserve">  </w:t>
      </w:r>
      <w:hyperlink r:id="rId11" w:history="1">
        <w:r w:rsidRPr="002E7477">
          <w:rPr>
            <w:rStyle w:val="Hyperlink"/>
            <w:sz w:val="21"/>
            <w:szCs w:val="22"/>
          </w:rPr>
          <w:t>https://www.gafutures.org/</w:t>
        </w:r>
      </w:hyperlink>
      <w:r w:rsidRPr="002E7477">
        <w:rPr>
          <w:sz w:val="21"/>
          <w:szCs w:val="22"/>
        </w:rPr>
        <w:t xml:space="preserve"> You MUST fill out an application each semester for each college that you take classes through in order for the State of GA to pay your tuition.  Do this ASAP!</w:t>
      </w:r>
    </w:p>
    <w:p w:rsidR="0047217E" w:rsidRPr="002E7477" w:rsidRDefault="0047217E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r w:rsidRPr="002E7477">
        <w:rPr>
          <w:b/>
          <w:sz w:val="21"/>
          <w:szCs w:val="22"/>
        </w:rPr>
        <w:t>Technical Help:</w:t>
      </w:r>
      <w:r w:rsidRPr="002E7477">
        <w:rPr>
          <w:sz w:val="21"/>
          <w:szCs w:val="22"/>
        </w:rPr>
        <w:t xml:space="preserve">  send an email to </w:t>
      </w:r>
      <w:hyperlink r:id="rId12" w:history="1">
        <w:r w:rsidRPr="002E7477">
          <w:rPr>
            <w:rStyle w:val="Hyperlink"/>
            <w:sz w:val="21"/>
            <w:szCs w:val="22"/>
          </w:rPr>
          <w:t>helpdesk@yhc.edu</w:t>
        </w:r>
      </w:hyperlink>
      <w:r w:rsidRPr="002E7477">
        <w:rPr>
          <w:sz w:val="21"/>
          <w:szCs w:val="22"/>
        </w:rPr>
        <w:t xml:space="preserve">.  </w:t>
      </w:r>
    </w:p>
    <w:p w:rsidR="0047217E" w:rsidRPr="002E7477" w:rsidRDefault="0047217E" w:rsidP="0047217E">
      <w:pPr>
        <w:pStyle w:val="ListParagraph"/>
        <w:numPr>
          <w:ilvl w:val="0"/>
          <w:numId w:val="2"/>
        </w:numPr>
        <w:jc w:val="both"/>
        <w:rPr>
          <w:sz w:val="21"/>
          <w:szCs w:val="22"/>
        </w:rPr>
      </w:pPr>
      <w:r w:rsidRPr="002E7477">
        <w:rPr>
          <w:b/>
          <w:sz w:val="21"/>
          <w:szCs w:val="22"/>
        </w:rPr>
        <w:t>Procedures/Policy help</w:t>
      </w:r>
      <w:r w:rsidRPr="002E7477">
        <w:rPr>
          <w:sz w:val="21"/>
          <w:szCs w:val="22"/>
        </w:rPr>
        <w:t xml:space="preserve">:  talk to your counselor or email </w:t>
      </w:r>
      <w:hyperlink r:id="rId13" w:history="1">
        <w:r w:rsidRPr="002E7477">
          <w:rPr>
            <w:rStyle w:val="Hyperlink"/>
            <w:sz w:val="21"/>
            <w:szCs w:val="22"/>
          </w:rPr>
          <w:t>dibauman@yhc.edu</w:t>
        </w:r>
      </w:hyperlink>
      <w:r w:rsidRPr="002E7477">
        <w:rPr>
          <w:sz w:val="21"/>
          <w:szCs w:val="22"/>
        </w:rPr>
        <w:t>.</w:t>
      </w:r>
    </w:p>
    <w:p w:rsidR="0047217E" w:rsidRDefault="0047217E" w:rsidP="0047217E"/>
    <w:p w:rsidR="008A3BE6" w:rsidRDefault="007671C5"/>
    <w:sectPr w:rsidR="008A3BE6" w:rsidSect="006204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5293"/>
    <w:multiLevelType w:val="hybridMultilevel"/>
    <w:tmpl w:val="8A9E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1B3"/>
    <w:multiLevelType w:val="hybridMultilevel"/>
    <w:tmpl w:val="7DE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44CD"/>
    <w:multiLevelType w:val="hybridMultilevel"/>
    <w:tmpl w:val="824E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7E"/>
    <w:rsid w:val="000E7806"/>
    <w:rsid w:val="00444C31"/>
    <w:rsid w:val="0047217E"/>
    <w:rsid w:val="0049458D"/>
    <w:rsid w:val="007671C5"/>
    <w:rsid w:val="007E4511"/>
    <w:rsid w:val="008D41BA"/>
    <w:rsid w:val="00A82A25"/>
    <w:rsid w:val="00B37975"/>
    <w:rsid w:val="00E52A47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67C7"/>
  <w14:defaultImageDpi w14:val="32767"/>
  <w15:chartTrackingRefBased/>
  <w15:docId w15:val="{C8FADAE5-A6AD-CE43-A4DD-42AE551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47217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72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yhc.edu/" TargetMode="External"/><Relationship Id="rId13" Type="http://schemas.openxmlformats.org/officeDocument/2006/relationships/hyperlink" Target="mailto:dibauman@yh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helpdesk@yh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over.yhc.edu/applynow/inquiryform" TargetMode="External"/><Relationship Id="rId11" Type="http://schemas.openxmlformats.org/officeDocument/2006/relationships/hyperlink" Target="https://www.gafutures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elfservice.yhc.edu/selfservice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yhc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Harris College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Bauman</dc:creator>
  <cp:keywords/>
  <dc:description/>
  <cp:lastModifiedBy>Diane Bauman</cp:lastModifiedBy>
  <cp:revision>6</cp:revision>
  <dcterms:created xsi:type="dcterms:W3CDTF">2018-02-22T21:28:00Z</dcterms:created>
  <dcterms:modified xsi:type="dcterms:W3CDTF">2018-03-02T14:16:00Z</dcterms:modified>
</cp:coreProperties>
</file>